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6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6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30505B">
        <w:rPr>
          <w:b/>
          <w:sz w:val="36"/>
          <w:szCs w:val="36"/>
        </w:rPr>
        <w:t>1</w:t>
      </w:r>
    </w:p>
    <w:p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:rsidTr="009477EC">
        <w:tc>
          <w:tcPr>
            <w:tcW w:w="1413" w:type="dxa"/>
            <w:shd w:val="clear" w:color="auto" w:fill="DEEAF6" w:themeFill="accent1" w:themeFillTint="33"/>
          </w:tcPr>
          <w:p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:rsidR="009477EC" w:rsidRDefault="00346C77">
            <w:r>
              <w:t>Sackville Heights Junior High</w:t>
            </w:r>
          </w:p>
          <w:p w:rsidR="009477EC" w:rsidRDefault="009477EC"/>
        </w:tc>
      </w:tr>
    </w:tbl>
    <w:p w:rsidR="009477EC" w:rsidRDefault="009477EC"/>
    <w:p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:rsidTr="003828E0">
        <w:tc>
          <w:tcPr>
            <w:tcW w:w="9350" w:type="dxa"/>
            <w:shd w:val="clear" w:color="auto" w:fill="DEEAF6" w:themeFill="accent1" w:themeFillTint="33"/>
          </w:tcPr>
          <w:p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:rsidTr="003828E0">
        <w:tc>
          <w:tcPr>
            <w:tcW w:w="9350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2"/>
              <w:gridCol w:w="3672"/>
            </w:tblGrid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E7E6E6" w:themeFill="background2"/>
                </w:tcPr>
                <w:p w:rsidR="00346C77" w:rsidRPr="005803BC" w:rsidRDefault="00346C77" w:rsidP="00346C77">
                  <w:pPr>
                    <w:jc w:val="center"/>
                  </w:pPr>
                  <w:r w:rsidRPr="005803BC">
                    <w:t>Member</w:t>
                  </w:r>
                </w:p>
              </w:tc>
              <w:tc>
                <w:tcPr>
                  <w:tcW w:w="3672" w:type="dxa"/>
                  <w:shd w:val="clear" w:color="auto" w:fill="E7E6E6" w:themeFill="background2"/>
                </w:tcPr>
                <w:p w:rsidR="00346C77" w:rsidRPr="005803BC" w:rsidRDefault="00346C77" w:rsidP="00346C77">
                  <w:pPr>
                    <w:jc w:val="center"/>
                  </w:pPr>
                  <w:r w:rsidRPr="005803BC">
                    <w:t>Role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Paula Fairbairn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Principal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Jeff Carruthers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Vice-Principal, Secretary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Kimberley Best-Janes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Teacher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Tanya Mercer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Teacher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Jennifer Knight (alternate Bella Duffley)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Support Staff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Rhonda Cox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Chair, Community Member</w:t>
                  </w:r>
                  <w:r w:rsidR="00934AE6">
                    <w:t xml:space="preserve"> (was SHES)</w:t>
                  </w:r>
                </w:p>
              </w:tc>
            </w:tr>
            <w:tr w:rsidR="00346C77" w:rsidTr="00346C77">
              <w:trPr>
                <w:trHeight w:val="386"/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FB479B" w:rsidRDefault="00346C77" w:rsidP="00FB479B">
                  <w:r>
                    <w:t>Vacant</w:t>
                  </w:r>
                </w:p>
                <w:p w:rsidR="00346C77" w:rsidRPr="00FB479B" w:rsidRDefault="00346C77" w:rsidP="00FB479B"/>
              </w:tc>
              <w:tc>
                <w:tcPr>
                  <w:tcW w:w="3672" w:type="dxa"/>
                  <w:shd w:val="clear" w:color="auto" w:fill="auto"/>
                </w:tcPr>
                <w:p w:rsidR="00346C77" w:rsidRDefault="00346C77" w:rsidP="00346C77">
                  <w:r>
                    <w:t>Community Member</w:t>
                  </w:r>
                </w:p>
                <w:p w:rsidR="00346C77" w:rsidRDefault="00346C77" w:rsidP="00346C77"/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 xml:space="preserve">Becky </w:t>
                  </w:r>
                  <w:proofErr w:type="spellStart"/>
                  <w:r>
                    <w:t>Payzant</w:t>
                  </w:r>
                  <w:proofErr w:type="spellEnd"/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Parent</w:t>
                  </w:r>
                  <w:r w:rsidR="00934AE6">
                    <w:t xml:space="preserve"> (Millwood Elementary)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Jill Cormier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Parent</w:t>
                  </w:r>
                  <w:r w:rsidR="00934AE6">
                    <w:t xml:space="preserve"> (HRH)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346C77" w:rsidRDefault="00346C77" w:rsidP="00346C77">
                  <w:r>
                    <w:t xml:space="preserve">Sarah </w:t>
                  </w:r>
                  <w:proofErr w:type="spellStart"/>
                  <w:r>
                    <w:t>Greenham</w:t>
                  </w:r>
                  <w:proofErr w:type="spellEnd"/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Default="00346C77" w:rsidP="00346C77">
                  <w:r>
                    <w:t>Parent</w:t>
                  </w:r>
                  <w:r w:rsidR="00934AE6">
                    <w:t xml:space="preserve"> (Millwood)</w:t>
                  </w:r>
                </w:p>
                <w:p w:rsidR="00346C77" w:rsidRPr="005803BC" w:rsidRDefault="00346C77" w:rsidP="00346C77"/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 xml:space="preserve">Grace </w:t>
                  </w:r>
                  <w:proofErr w:type="spellStart"/>
                  <w:r>
                    <w:t>Greenham</w:t>
                  </w:r>
                  <w:proofErr w:type="spellEnd"/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Student – grade 8</w:t>
                  </w:r>
                </w:p>
              </w:tc>
            </w:tr>
            <w:tr w:rsidR="00346C77" w:rsidRPr="005803BC" w:rsidTr="00346C77">
              <w:trPr>
                <w:jc w:val="center"/>
              </w:trPr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Vacant Position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346C77" w:rsidRPr="005803BC" w:rsidRDefault="00346C77" w:rsidP="00346C77">
                  <w:r>
                    <w:t>Student – grade 7</w:t>
                  </w:r>
                </w:p>
              </w:tc>
            </w:tr>
          </w:tbl>
          <w:p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:rsidR="003828E0" w:rsidRDefault="003828E0" w:rsidP="003828E0">
      <w:pPr>
        <w:jc w:val="both"/>
        <w:rPr>
          <w:sz w:val="24"/>
          <w:szCs w:val="24"/>
        </w:rPr>
      </w:pPr>
    </w:p>
    <w:p w:rsidR="00FB479B" w:rsidRPr="003828E0" w:rsidRDefault="00FB479B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:rsidTr="003828E0">
        <w:tc>
          <w:tcPr>
            <w:tcW w:w="9350" w:type="dxa"/>
            <w:shd w:val="clear" w:color="auto" w:fill="DEEAF6" w:themeFill="accent1" w:themeFillTint="33"/>
          </w:tcPr>
          <w:p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lastRenderedPageBreak/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:rsidTr="003828E0">
        <w:tc>
          <w:tcPr>
            <w:tcW w:w="9350" w:type="dxa"/>
          </w:tcPr>
          <w:p w:rsidR="00346C77" w:rsidRDefault="00346C77" w:rsidP="0034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SAC Grant money </w:t>
            </w:r>
            <w:proofErr w:type="gramStart"/>
            <w:r>
              <w:rPr>
                <w:sz w:val="24"/>
                <w:szCs w:val="24"/>
              </w:rPr>
              <w:t>was used</w:t>
            </w:r>
            <w:proofErr w:type="gramEnd"/>
            <w:r>
              <w:rPr>
                <w:sz w:val="24"/>
                <w:szCs w:val="24"/>
              </w:rPr>
              <w:t xml:space="preserve"> to directly provide classrooms with supplies for student use. These items ranged from non-fiction</w:t>
            </w:r>
            <w:r>
              <w:rPr>
                <w:sz w:val="24"/>
                <w:szCs w:val="24"/>
              </w:rPr>
              <w:t xml:space="preserve"> and fiction</w:t>
            </w:r>
            <w:r>
              <w:rPr>
                <w:sz w:val="24"/>
                <w:szCs w:val="24"/>
              </w:rPr>
              <w:t xml:space="preserve"> texts, </w:t>
            </w:r>
            <w:r>
              <w:rPr>
                <w:sz w:val="24"/>
                <w:szCs w:val="24"/>
              </w:rPr>
              <w:t>alternative seating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bouncy bands for desks and a web based reading program</w:t>
            </w:r>
            <w:r>
              <w:rPr>
                <w:sz w:val="24"/>
                <w:szCs w:val="24"/>
              </w:rPr>
              <w:t xml:space="preserve">. These items </w:t>
            </w:r>
            <w:proofErr w:type="gramStart"/>
            <w:r>
              <w:rPr>
                <w:sz w:val="24"/>
                <w:szCs w:val="24"/>
              </w:rPr>
              <w:t>have been used</w:t>
            </w:r>
            <w:proofErr w:type="gramEnd"/>
            <w:r>
              <w:rPr>
                <w:sz w:val="24"/>
                <w:szCs w:val="24"/>
              </w:rPr>
              <w:t xml:space="preserve"> as tools f</w:t>
            </w:r>
            <w:r w:rsidR="00625CDB">
              <w:rPr>
                <w:sz w:val="24"/>
                <w:szCs w:val="24"/>
              </w:rPr>
              <w:t>or increased student engagement and achievement.</w:t>
            </w:r>
          </w:p>
          <w:p w:rsidR="00625CDB" w:rsidRDefault="00625CDB" w:rsidP="00346C77">
            <w:pPr>
              <w:jc w:val="both"/>
              <w:rPr>
                <w:sz w:val="24"/>
                <w:szCs w:val="24"/>
              </w:rPr>
            </w:pPr>
          </w:p>
          <w:p w:rsidR="00625CDB" w:rsidRPr="00625CDB" w:rsidRDefault="00625CDB" w:rsidP="0034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SAC spent time analysing the data from the micro-survey about wellness, which </w:t>
            </w:r>
            <w:proofErr w:type="gramStart"/>
            <w:r>
              <w:rPr>
                <w:sz w:val="24"/>
                <w:szCs w:val="24"/>
              </w:rPr>
              <w:t>was completed</w:t>
            </w:r>
            <w:proofErr w:type="gramEnd"/>
            <w:r>
              <w:rPr>
                <w:sz w:val="24"/>
                <w:szCs w:val="24"/>
              </w:rPr>
              <w:t xml:space="preserve"> with students. The committee brainstormed </w:t>
            </w:r>
            <w:r w:rsidRPr="00625CDB">
              <w:rPr>
                <w:sz w:val="24"/>
                <w:szCs w:val="24"/>
              </w:rPr>
              <w:t>strategies or targeted actions, we can implement at the school level, to improve student well-being.</w:t>
            </w:r>
          </w:p>
          <w:p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:rsidR="009477EC" w:rsidRDefault="00625CDB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importance of staff professional development was always a focus of SAC meetings. The various PD sessions, that teachers attended, </w:t>
            </w:r>
            <w:proofErr w:type="gramStart"/>
            <w:r>
              <w:rPr>
                <w:sz w:val="24"/>
                <w:szCs w:val="24"/>
              </w:rPr>
              <w:t>were explained and always connected to student achievement and wellness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744B0E" w:rsidRDefault="00744B0E" w:rsidP="003828E0">
            <w:pPr>
              <w:jc w:val="both"/>
              <w:rPr>
                <w:sz w:val="24"/>
                <w:szCs w:val="24"/>
              </w:rPr>
            </w:pPr>
          </w:p>
          <w:p w:rsidR="00744B0E" w:rsidRDefault="00744B0E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SAC provided</w:t>
            </w:r>
            <w:r w:rsidR="00D23218">
              <w:rPr>
                <w:sz w:val="24"/>
                <w:szCs w:val="24"/>
              </w:rPr>
              <w:t xml:space="preserve"> the administration of the school with beneficial feedback about </w:t>
            </w:r>
            <w:proofErr w:type="spellStart"/>
            <w:r w:rsidR="00D23218">
              <w:rPr>
                <w:sz w:val="24"/>
                <w:szCs w:val="24"/>
              </w:rPr>
              <w:t>Covid</w:t>
            </w:r>
            <w:proofErr w:type="spellEnd"/>
            <w:r w:rsidR="00D23218">
              <w:rPr>
                <w:sz w:val="24"/>
                <w:szCs w:val="24"/>
              </w:rPr>
              <w:t xml:space="preserve"> protocols during this unprecedented year. It was helpful to have the voice of the community, as school specific decisions </w:t>
            </w:r>
            <w:proofErr w:type="gramStart"/>
            <w:r w:rsidR="00D23218">
              <w:rPr>
                <w:sz w:val="24"/>
                <w:szCs w:val="24"/>
              </w:rPr>
              <w:t>were made</w:t>
            </w:r>
            <w:proofErr w:type="gramEnd"/>
            <w:r w:rsidR="00D23218">
              <w:rPr>
                <w:sz w:val="24"/>
                <w:szCs w:val="24"/>
              </w:rPr>
              <w:t>, which maintained safety, but still focused on student achievement and well-being.</w:t>
            </w:r>
          </w:p>
          <w:p w:rsidR="009477EC" w:rsidRPr="003828E0" w:rsidRDefault="009477EC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:rsidTr="003828E0">
        <w:tc>
          <w:tcPr>
            <w:tcW w:w="9350" w:type="dxa"/>
            <w:shd w:val="clear" w:color="auto" w:fill="DEEAF6" w:themeFill="accent1" w:themeFillTint="33"/>
          </w:tcPr>
          <w:p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:rsidTr="003828E0">
        <w:tc>
          <w:tcPr>
            <w:tcW w:w="9350" w:type="dxa"/>
          </w:tcPr>
          <w:p w:rsidR="009477EC" w:rsidRDefault="001F6998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Having new administration at SHJH, along with new committee members, and conducting meetings virtually, was a challenge during this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>
              <w:rPr>
                <w:sz w:val="24"/>
                <w:szCs w:val="24"/>
              </w:rPr>
              <w:t xml:space="preserve"> year. Although, never having met in person, the committee functioned in the best interests of the school/students and remained positive and dedicated to their role on the SAC.  </w:t>
            </w:r>
          </w:p>
          <w:p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:rsidTr="003828E0">
        <w:tc>
          <w:tcPr>
            <w:tcW w:w="9350" w:type="dxa"/>
            <w:shd w:val="clear" w:color="auto" w:fill="DEEAF6" w:themeFill="accent1" w:themeFillTint="33"/>
          </w:tcPr>
          <w:p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Tr="003828E0">
        <w:tc>
          <w:tcPr>
            <w:tcW w:w="9350" w:type="dxa"/>
          </w:tcPr>
          <w:p w:rsidR="009477EC" w:rsidRDefault="00346C77">
            <w:r>
              <w:t>N/A for 2020-2021</w:t>
            </w:r>
          </w:p>
          <w:p w:rsidR="009477EC" w:rsidRDefault="009477EC"/>
          <w:p w:rsidR="003828E0" w:rsidRDefault="003828E0"/>
        </w:tc>
      </w:tr>
    </w:tbl>
    <w:p w:rsidR="009477EC" w:rsidRDefault="009477EC"/>
    <w:p w:rsidR="009477EC" w:rsidRDefault="009477EC"/>
    <w:p w:rsidR="00FB479B" w:rsidRDefault="00FB479B"/>
    <w:p w:rsidR="00FB479B" w:rsidRDefault="00FB479B"/>
    <w:p w:rsidR="00FB479B" w:rsidRDefault="00FB479B"/>
    <w:p w:rsidR="00FB479B" w:rsidRDefault="00FB479B"/>
    <w:p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lastRenderedPageBreak/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:rsidTr="009477EC">
        <w:tc>
          <w:tcPr>
            <w:tcW w:w="9350" w:type="dxa"/>
            <w:shd w:val="clear" w:color="auto" w:fill="DEEAF6" w:themeFill="accent1" w:themeFillTint="33"/>
          </w:tcPr>
          <w:p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:rsidTr="009477EC">
        <w:tc>
          <w:tcPr>
            <w:tcW w:w="9350" w:type="dxa"/>
          </w:tcPr>
          <w:p w:rsidR="009477EC" w:rsidRDefault="001479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Squiggle Park Subscription $1682.45</w:t>
            </w:r>
          </w:p>
          <w:p w:rsidR="001479E0" w:rsidRDefault="001479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Alternative Seating $2949.40</w:t>
            </w:r>
          </w:p>
          <w:p w:rsidR="001479E0" w:rsidRDefault="001479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Bouncy Bands $551.72</w:t>
            </w:r>
          </w:p>
          <w:p w:rsidR="001479E0" w:rsidRDefault="001479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Library Books $994.71</w:t>
            </w:r>
          </w:p>
          <w:p w:rsidR="00B51C96" w:rsidRDefault="00B51C96" w:rsidP="009477EC">
            <w:pPr>
              <w:jc w:val="both"/>
              <w:rPr>
                <w:sz w:val="24"/>
                <w:szCs w:val="24"/>
              </w:rPr>
            </w:pPr>
          </w:p>
          <w:p w:rsidR="00B51C96" w:rsidRPr="00B51C96" w:rsidRDefault="00B51C96" w:rsidP="009477EC">
            <w:pPr>
              <w:jc w:val="both"/>
              <w:rPr>
                <w:b/>
                <w:sz w:val="24"/>
                <w:szCs w:val="24"/>
              </w:rPr>
            </w:pPr>
            <w:r w:rsidRPr="00B51C96">
              <w:rPr>
                <w:b/>
                <w:sz w:val="24"/>
                <w:szCs w:val="24"/>
              </w:rPr>
              <w:t>Balance: $5763.36</w:t>
            </w:r>
            <w:bookmarkStart w:id="0" w:name="_GoBack"/>
            <w:bookmarkEnd w:id="0"/>
          </w:p>
          <w:p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Tr="009477EC">
        <w:tc>
          <w:tcPr>
            <w:tcW w:w="9350" w:type="dxa"/>
            <w:shd w:val="clear" w:color="auto" w:fill="DEEAF6" w:themeFill="accent1" w:themeFillTint="33"/>
          </w:tcPr>
          <w:p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:rsidTr="003828E0">
        <w:tc>
          <w:tcPr>
            <w:tcW w:w="9350" w:type="dxa"/>
          </w:tcPr>
          <w:p w:rsidR="003828E0" w:rsidRDefault="001479E0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Tr="009477EC">
        <w:tc>
          <w:tcPr>
            <w:tcW w:w="9350" w:type="dxa"/>
            <w:shd w:val="clear" w:color="auto" w:fill="DEEAF6" w:themeFill="accent1" w:themeFillTint="33"/>
          </w:tcPr>
          <w:p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:rsidTr="003828E0">
        <w:tc>
          <w:tcPr>
            <w:tcW w:w="9350" w:type="dxa"/>
          </w:tcPr>
          <w:p w:rsidR="003828E0" w:rsidRDefault="00147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:rsidR="009477EC" w:rsidRDefault="009477EC">
            <w:pPr>
              <w:rPr>
                <w:sz w:val="24"/>
                <w:szCs w:val="24"/>
              </w:rPr>
            </w:pPr>
          </w:p>
        </w:tc>
      </w:tr>
    </w:tbl>
    <w:p w:rsidR="003828E0" w:rsidRDefault="003828E0">
      <w:pPr>
        <w:rPr>
          <w:sz w:val="24"/>
          <w:szCs w:val="24"/>
        </w:rPr>
      </w:pPr>
    </w:p>
    <w:p w:rsidR="00A47558" w:rsidRPr="00A47558" w:rsidRDefault="00A47558" w:rsidP="00A47558">
      <w:pPr>
        <w:jc w:val="center"/>
      </w:pPr>
      <w:r w:rsidRPr="00A47558">
        <w:t>Please return to School Administration</w:t>
      </w:r>
      <w:r w:rsidR="0062379C">
        <w:t xml:space="preserve"> S</w:t>
      </w:r>
      <w:r w:rsidR="00B816C6">
        <w:t>upervisor by Monday, June 2</w:t>
      </w:r>
      <w:r w:rsidR="0030505B">
        <w:t>1</w:t>
      </w:r>
      <w:r w:rsidR="00B816C6">
        <w:t>, 202</w:t>
      </w:r>
      <w:r w:rsidR="0030505B">
        <w:t>1</w:t>
      </w:r>
      <w:r w:rsidRPr="00A47558">
        <w:t>. Thank you.</w:t>
      </w:r>
    </w:p>
    <w:sectPr w:rsidR="00A47558" w:rsidRPr="00A4755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8E" w:rsidRDefault="0078258E" w:rsidP="009477EC">
      <w:pPr>
        <w:spacing w:after="0" w:line="240" w:lineRule="auto"/>
      </w:pPr>
      <w:r>
        <w:separator/>
      </w:r>
    </w:p>
  </w:endnote>
  <w:endnote w:type="continuationSeparator" w:id="0">
    <w:p w:rsidR="0078258E" w:rsidRDefault="0078258E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C96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8E" w:rsidRDefault="0078258E" w:rsidP="009477EC">
      <w:pPr>
        <w:spacing w:after="0" w:line="240" w:lineRule="auto"/>
      </w:pPr>
      <w:r>
        <w:separator/>
      </w:r>
    </w:p>
  </w:footnote>
  <w:footnote w:type="continuationSeparator" w:id="0">
    <w:p w:rsidR="0078258E" w:rsidRDefault="0078258E" w:rsidP="00947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E0"/>
    <w:rsid w:val="001479E0"/>
    <w:rsid w:val="001F6998"/>
    <w:rsid w:val="0030505B"/>
    <w:rsid w:val="00346C77"/>
    <w:rsid w:val="003828E0"/>
    <w:rsid w:val="0039172C"/>
    <w:rsid w:val="004E7F06"/>
    <w:rsid w:val="0062379C"/>
    <w:rsid w:val="00625CDB"/>
    <w:rsid w:val="00744B0E"/>
    <w:rsid w:val="0078258E"/>
    <w:rsid w:val="008151D9"/>
    <w:rsid w:val="00934AE6"/>
    <w:rsid w:val="009477EC"/>
    <w:rsid w:val="00A47558"/>
    <w:rsid w:val="00B51C96"/>
    <w:rsid w:val="00B816C6"/>
    <w:rsid w:val="00D23218"/>
    <w:rsid w:val="00DC32E6"/>
    <w:rsid w:val="00E67127"/>
    <w:rsid w:val="00EA10CB"/>
    <w:rsid w:val="00F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76C7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rce.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user</cp:lastModifiedBy>
  <cp:revision>9</cp:revision>
  <cp:lastPrinted>2019-05-31T17:21:00Z</cp:lastPrinted>
  <dcterms:created xsi:type="dcterms:W3CDTF">2021-06-14T22:34:00Z</dcterms:created>
  <dcterms:modified xsi:type="dcterms:W3CDTF">2021-06-16T12:49:00Z</dcterms:modified>
</cp:coreProperties>
</file>